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D3E8D" w14:textId="37DBF8B1" w:rsidR="00B515A8" w:rsidRDefault="00D63BEB" w:rsidP="00D63BEB">
      <w:pPr>
        <w:jc w:val="center"/>
        <w:rPr>
          <w:b/>
          <w:bCs/>
          <w:sz w:val="36"/>
          <w:szCs w:val="36"/>
        </w:rPr>
      </w:pPr>
      <w:r w:rsidRPr="00D63BEB">
        <w:rPr>
          <w:b/>
          <w:bCs/>
          <w:sz w:val="36"/>
          <w:szCs w:val="36"/>
        </w:rPr>
        <w:t xml:space="preserve">Должны ли холодильники для </w:t>
      </w:r>
      <w:proofErr w:type="spellStart"/>
      <w:r w:rsidRPr="00D63BEB">
        <w:rPr>
          <w:b/>
          <w:bCs/>
          <w:sz w:val="36"/>
          <w:szCs w:val="36"/>
        </w:rPr>
        <w:t>медотходов</w:t>
      </w:r>
      <w:proofErr w:type="spellEnd"/>
      <w:r w:rsidRPr="00D63BEB">
        <w:rPr>
          <w:b/>
          <w:bCs/>
          <w:sz w:val="36"/>
          <w:szCs w:val="36"/>
        </w:rPr>
        <w:t xml:space="preserve"> иметь </w:t>
      </w:r>
      <w:proofErr w:type="spellStart"/>
      <w:r w:rsidRPr="00D63BEB">
        <w:rPr>
          <w:b/>
          <w:bCs/>
          <w:sz w:val="36"/>
          <w:szCs w:val="36"/>
        </w:rPr>
        <w:t>регудостоверение</w:t>
      </w:r>
      <w:proofErr w:type="spellEnd"/>
      <w:r w:rsidRPr="00D63BEB">
        <w:rPr>
          <w:b/>
          <w:bCs/>
          <w:sz w:val="36"/>
          <w:szCs w:val="36"/>
        </w:rPr>
        <w:t xml:space="preserve"> (РУ)  как медицинские изделия ?</w:t>
      </w:r>
    </w:p>
    <w:p w14:paraId="67EC10B2" w14:textId="77777777" w:rsidR="00D63BEB" w:rsidRDefault="00D63BEB" w:rsidP="00D63BEB">
      <w:pPr>
        <w:jc w:val="center"/>
        <w:rPr>
          <w:b/>
          <w:bCs/>
          <w:sz w:val="36"/>
          <w:szCs w:val="36"/>
        </w:rPr>
      </w:pPr>
    </w:p>
    <w:p w14:paraId="71988696" w14:textId="77777777" w:rsidR="00D63BEB" w:rsidRDefault="00D63BEB" w:rsidP="00D63BEB">
      <w:pPr>
        <w:pStyle w:val="ac"/>
      </w:pPr>
      <w:r>
        <w:t>Этот вопрос обсуждается уже давно . Как известно все технические устройства, используемые в здравоохранении , могут быть зарегистрированы специальным образом как "медицинские изделия" При этом они проходят специальную детальную проверку  на совместимость как с пациентами (например , при соприкосновении с кожей не должны вызывать аллергические реакции, не должны причинять вред здоровью своим излучением и т д), так и на совместимость с прочей больничной техникой (одно устройство не должно блокировать работу другого).</w:t>
      </w:r>
    </w:p>
    <w:p w14:paraId="0370222F" w14:textId="77777777" w:rsidR="00D63BEB" w:rsidRDefault="00D63BEB" w:rsidP="00D63BEB">
      <w:pPr>
        <w:pStyle w:val="ac"/>
      </w:pPr>
      <w:r>
        <w:t xml:space="preserve">Известно также/, что некоторые изделия, связанные </w:t>
      </w:r>
      <w:proofErr w:type="gramStart"/>
      <w:r>
        <w:t>с медицинскими отходами</w:t>
      </w:r>
      <w:proofErr w:type="gramEnd"/>
      <w:r>
        <w:t xml:space="preserve"> постоянно  регистрируются как </w:t>
      </w:r>
      <w:proofErr w:type="spellStart"/>
      <w:r>
        <w:t>медизделия</w:t>
      </w:r>
      <w:proofErr w:type="spellEnd"/>
      <w:r>
        <w:t xml:space="preserve"> (имеют РУ) , например , некоторые виды тары и упаковки, в частности , контейнеры для биоматериалов и </w:t>
      </w:r>
      <w:proofErr w:type="spellStart"/>
      <w:r>
        <w:t>иглосборники</w:t>
      </w:r>
      <w:proofErr w:type="spellEnd"/>
      <w:r>
        <w:t>.</w:t>
      </w:r>
    </w:p>
    <w:p w14:paraId="7FDC08A9" w14:textId="6C206846" w:rsidR="00D63BEB" w:rsidRDefault="00D63BEB" w:rsidP="00D63BEB">
      <w:pPr>
        <w:pStyle w:val="ac"/>
      </w:pPr>
      <w:r>
        <w:t xml:space="preserve">Что касается холодильного /морозильного спецоборудования для </w:t>
      </w:r>
      <w:proofErr w:type="spellStart"/>
      <w:r>
        <w:t>медотходов</w:t>
      </w:r>
      <w:proofErr w:type="spellEnd"/>
      <w:r>
        <w:t xml:space="preserve"> , то такое оборудование производится отечественной промышленностью</w:t>
      </w:r>
      <w:r>
        <w:t xml:space="preserve">  </w:t>
      </w:r>
      <w:hyperlink r:id="rId4" w:history="1">
        <w:r w:rsidRPr="00F444D4">
          <w:rPr>
            <w:rStyle w:val="ad"/>
          </w:rPr>
          <w:t>https://piretta.ru/accumulation_equipment/</w:t>
        </w:r>
      </w:hyperlink>
      <w:r>
        <w:t xml:space="preserve">, </w:t>
      </w:r>
      <w:r>
        <w:t xml:space="preserve">однако  долгое время было неочевидно-должны больницы требовать это </w:t>
      </w:r>
      <w:proofErr w:type="spellStart"/>
      <w:r>
        <w:t>РУна</w:t>
      </w:r>
      <w:proofErr w:type="spellEnd"/>
      <w:r>
        <w:t xml:space="preserve"> поставляемые им холодильники или нет.</w:t>
      </w:r>
    </w:p>
    <w:p w14:paraId="5B4ADCEA" w14:textId="77777777" w:rsidR="00D63BEB" w:rsidRDefault="00D63BEB" w:rsidP="00D63BEB">
      <w:pPr>
        <w:pStyle w:val="ac"/>
      </w:pPr>
      <w:r>
        <w:t>Наконец были получены два документа, отражающие мнение Минздрава и Росздравнадзора - двух основных ведомств, регулирующих деятельность медицинских учреждений РФ.</w:t>
      </w:r>
    </w:p>
    <w:p w14:paraId="6209F365" w14:textId="5B0A2640" w:rsidR="00D63BEB" w:rsidRPr="00D63BEB" w:rsidRDefault="00D63BEB" w:rsidP="00D63BEB">
      <w:pPr>
        <w:pStyle w:val="ac"/>
        <w:rPr>
          <w:b/>
          <w:bCs/>
          <w:u w:val="single"/>
        </w:rPr>
      </w:pPr>
      <w:r w:rsidRPr="00D63BEB">
        <w:rPr>
          <w:b/>
          <w:bCs/>
          <w:u w:val="single"/>
        </w:rPr>
        <w:t xml:space="preserve">Письмо </w:t>
      </w:r>
      <w:r w:rsidRPr="00D63BEB">
        <w:rPr>
          <w:b/>
          <w:bCs/>
          <w:u w:val="single"/>
        </w:rPr>
        <w:t xml:space="preserve"> от 29.12.2023 </w:t>
      </w:r>
      <w:proofErr w:type="gramStart"/>
      <w:r w:rsidRPr="00D63BEB">
        <w:rPr>
          <w:b/>
          <w:bCs/>
          <w:u w:val="single"/>
        </w:rPr>
        <w:t>№ 30-5/10</w:t>
      </w:r>
      <w:proofErr w:type="gramEnd"/>
      <w:r w:rsidRPr="00D63BEB">
        <w:rPr>
          <w:b/>
          <w:bCs/>
          <w:u w:val="single"/>
        </w:rPr>
        <w:t>/3139372-3921  Министерств</w:t>
      </w:r>
      <w:r w:rsidRPr="00D63BEB">
        <w:rPr>
          <w:b/>
          <w:bCs/>
          <w:u w:val="single"/>
        </w:rPr>
        <w:t>а</w:t>
      </w:r>
      <w:r w:rsidRPr="00D63BEB">
        <w:rPr>
          <w:b/>
          <w:bCs/>
          <w:u w:val="single"/>
        </w:rPr>
        <w:t xml:space="preserve"> здравоохранения РФ </w:t>
      </w:r>
    </w:p>
    <w:p w14:paraId="62DC1F93" w14:textId="77777777" w:rsidR="00D63BEB" w:rsidRDefault="00D63BEB" w:rsidP="00D63BEB">
      <w:pPr>
        <w:pStyle w:val="Default"/>
      </w:pPr>
    </w:p>
    <w:p w14:paraId="3A386E42" w14:textId="77777777" w:rsidR="00D63BEB" w:rsidRDefault="00D63BEB" w:rsidP="00D63BEB">
      <w:pPr>
        <w:pStyle w:val="Default"/>
      </w:pPr>
    </w:p>
    <w:tbl>
      <w:tblPr>
        <w:tblW w:w="0" w:type="auto"/>
        <w:jc w:val="right"/>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550"/>
      </w:tblGrid>
      <w:tr w:rsidR="00D63BEB" w14:paraId="08E12FF3" w14:textId="77777777" w:rsidTr="00D63BEB">
        <w:tblPrEx>
          <w:tblCellMar>
            <w:top w:w="0" w:type="dxa"/>
            <w:bottom w:w="0" w:type="dxa"/>
          </w:tblCellMar>
        </w:tblPrEx>
        <w:trPr>
          <w:trHeight w:val="932"/>
          <w:jc w:val="right"/>
        </w:trPr>
        <w:tc>
          <w:tcPr>
            <w:tcW w:w="3550" w:type="dxa"/>
            <w:tcBorders>
              <w:top w:val="none" w:sz="6" w:space="0" w:color="auto"/>
              <w:bottom w:val="none" w:sz="6" w:space="0" w:color="auto"/>
            </w:tcBorders>
          </w:tcPr>
          <w:p w14:paraId="21EAA1D6" w14:textId="77777777" w:rsidR="00D63BEB" w:rsidRDefault="00D63BEB">
            <w:pPr>
              <w:pStyle w:val="Default"/>
              <w:rPr>
                <w:sz w:val="28"/>
                <w:szCs w:val="28"/>
              </w:rPr>
            </w:pPr>
            <w:r>
              <w:t xml:space="preserve"> </w:t>
            </w:r>
            <w:r>
              <w:rPr>
                <w:sz w:val="28"/>
                <w:szCs w:val="28"/>
              </w:rPr>
              <w:t xml:space="preserve">Федеральная </w:t>
            </w:r>
          </w:p>
          <w:p w14:paraId="414F49A3" w14:textId="77777777" w:rsidR="00D63BEB" w:rsidRDefault="00D63BEB">
            <w:pPr>
              <w:pStyle w:val="Default"/>
              <w:rPr>
                <w:sz w:val="28"/>
                <w:szCs w:val="28"/>
              </w:rPr>
            </w:pPr>
            <w:r>
              <w:rPr>
                <w:sz w:val="28"/>
                <w:szCs w:val="28"/>
              </w:rPr>
              <w:t xml:space="preserve">антимонопольная служба </w:t>
            </w:r>
          </w:p>
          <w:p w14:paraId="19C8C337" w14:textId="77777777" w:rsidR="00D63BEB" w:rsidRDefault="00D63BEB">
            <w:pPr>
              <w:pStyle w:val="Default"/>
              <w:rPr>
                <w:sz w:val="28"/>
                <w:szCs w:val="28"/>
              </w:rPr>
            </w:pPr>
            <w:r>
              <w:rPr>
                <w:sz w:val="28"/>
                <w:szCs w:val="28"/>
              </w:rPr>
              <w:t xml:space="preserve">Садовая-Кудринская ул., д.11, </w:t>
            </w:r>
          </w:p>
          <w:p w14:paraId="45F5D605" w14:textId="77777777" w:rsidR="00D63BEB" w:rsidRDefault="00D63BEB">
            <w:pPr>
              <w:pStyle w:val="Default"/>
              <w:rPr>
                <w:sz w:val="28"/>
                <w:szCs w:val="28"/>
              </w:rPr>
            </w:pPr>
            <w:r>
              <w:rPr>
                <w:sz w:val="28"/>
                <w:szCs w:val="28"/>
              </w:rPr>
              <w:t xml:space="preserve">г. Москва, Д-242, ГСП-3, </w:t>
            </w:r>
          </w:p>
          <w:p w14:paraId="03204AC6" w14:textId="77777777" w:rsidR="00D63BEB" w:rsidRDefault="00D63BEB">
            <w:pPr>
              <w:pStyle w:val="Default"/>
              <w:rPr>
                <w:sz w:val="28"/>
                <w:szCs w:val="28"/>
              </w:rPr>
            </w:pPr>
            <w:r>
              <w:rPr>
                <w:sz w:val="28"/>
                <w:szCs w:val="28"/>
              </w:rPr>
              <w:t xml:space="preserve">125993 </w:t>
            </w:r>
          </w:p>
        </w:tc>
      </w:tr>
    </w:tbl>
    <w:p w14:paraId="1D58E09F" w14:textId="77777777" w:rsidR="00D63BEB" w:rsidRDefault="00D63BEB" w:rsidP="00D63BEB">
      <w:pPr>
        <w:pStyle w:val="Default"/>
      </w:pPr>
      <w:r>
        <w:t xml:space="preserve"> </w:t>
      </w:r>
    </w:p>
    <w:p w14:paraId="31B43BFF" w14:textId="2F6A5558" w:rsidR="00D63BEB" w:rsidRDefault="00D63BEB" w:rsidP="00D63BEB">
      <w:pPr>
        <w:pStyle w:val="Default"/>
        <w:rPr>
          <w:sz w:val="28"/>
          <w:szCs w:val="28"/>
        </w:rPr>
      </w:pPr>
      <w:r>
        <w:rPr>
          <w:sz w:val="28"/>
          <w:szCs w:val="28"/>
        </w:rPr>
        <w:t xml:space="preserve">Департамент организации экстренной медицинской помощи и управления рисками здоровью в соответствии с письмом Федеральной антимонопольной службы от 25.12.2023 № ПИ/109916/23 рассмотрел обращение Тимошенко-Соломатиной </w:t>
      </w:r>
      <w:proofErr w:type="gramStart"/>
      <w:r>
        <w:rPr>
          <w:sz w:val="28"/>
          <w:szCs w:val="28"/>
        </w:rPr>
        <w:t>А.Г.</w:t>
      </w:r>
      <w:proofErr w:type="gramEnd"/>
      <w:r>
        <w:rPr>
          <w:sz w:val="28"/>
          <w:szCs w:val="28"/>
        </w:rPr>
        <w:t xml:space="preserve"> по вопросу допустимости включения заказчиком требования о предоставлении поставщиком регистрационного удостоверения на медицинское изделие при осуществлении закупки холодильного/морозильного оборудования для хранения медицинских отходов и сообщает. </w:t>
      </w:r>
    </w:p>
    <w:p w14:paraId="6A6E6732" w14:textId="77777777" w:rsidR="00D63BEB" w:rsidRDefault="00D63BEB" w:rsidP="00D63BEB">
      <w:pPr>
        <w:pStyle w:val="Default"/>
        <w:rPr>
          <w:sz w:val="28"/>
          <w:szCs w:val="28"/>
        </w:rPr>
      </w:pPr>
      <w:r>
        <w:rPr>
          <w:sz w:val="28"/>
          <w:szCs w:val="28"/>
        </w:rPr>
        <w:t xml:space="preserve">В соответствии с частью 1 статьи 38 Федерального закона от 21.11.2011 № 323-ФЗ «Об основах охраны здоровья граждан в Российской Федерации» </w:t>
      </w:r>
      <w:r>
        <w:rPr>
          <w:sz w:val="28"/>
          <w:szCs w:val="28"/>
        </w:rPr>
        <w:lastRenderedPageBreak/>
        <w:t xml:space="preserve">(далее –Федеральный закон от 21.11.2011 № 323-ФЗ)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w:t>
      </w:r>
    </w:p>
    <w:p w14:paraId="2879E6E5" w14:textId="77777777" w:rsidR="00D63BEB" w:rsidRDefault="00D63BEB" w:rsidP="00D63BEB">
      <w:pPr>
        <w:pStyle w:val="Default"/>
        <w:rPr>
          <w:sz w:val="28"/>
          <w:szCs w:val="28"/>
        </w:rPr>
      </w:pPr>
      <w:r>
        <w:rPr>
          <w:sz w:val="28"/>
          <w:szCs w:val="28"/>
        </w:rPr>
        <w:t xml:space="preserve">Согласно части 2 статьи 38 Федерального закона от 21.11.2011 № 323-ФЗ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p>
    <w:p w14:paraId="76A572E4" w14:textId="77777777" w:rsidR="00D63BEB" w:rsidRDefault="00D63BEB" w:rsidP="00D63BEB">
      <w:pPr>
        <w:pStyle w:val="Default"/>
        <w:rPr>
          <w:sz w:val="28"/>
          <w:szCs w:val="28"/>
        </w:rPr>
      </w:pPr>
      <w:r>
        <w:rPr>
          <w:sz w:val="28"/>
          <w:szCs w:val="28"/>
        </w:rPr>
        <w:t>Холодильное/морозильное оборудование согласно номенклатурной классификации медицинских изделий по видам, утвержденной приказом Минздрава России от 06.06.2012 № 4н, соответствует пункту 2.51 «холодильные/морозильные камеры и сопутствующие изделия».</w:t>
      </w:r>
    </w:p>
    <w:p w14:paraId="3283E3BF" w14:textId="21ACA0E7" w:rsidR="00D63BEB" w:rsidRDefault="00D63BEB" w:rsidP="00D63BEB">
      <w:pPr>
        <w:pStyle w:val="Default"/>
        <w:rPr>
          <w:color w:val="auto"/>
          <w:sz w:val="28"/>
          <w:szCs w:val="28"/>
        </w:rPr>
      </w:pPr>
      <w:r>
        <w:rPr>
          <w:color w:val="auto"/>
          <w:sz w:val="28"/>
          <w:szCs w:val="28"/>
        </w:rPr>
        <w:t xml:space="preserve">Частью 4 статьи 38 Федерального закона от 21.11.2011 № 323-ФЗ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w:t>
      </w:r>
    </w:p>
    <w:p w14:paraId="08C4E344" w14:textId="77777777" w:rsidR="00D63BEB" w:rsidRDefault="00D63BEB" w:rsidP="00D63BEB">
      <w:pPr>
        <w:pStyle w:val="Default"/>
        <w:rPr>
          <w:color w:val="auto"/>
          <w:sz w:val="28"/>
          <w:szCs w:val="28"/>
        </w:rPr>
      </w:pPr>
      <w:r>
        <w:rPr>
          <w:color w:val="auto"/>
          <w:sz w:val="28"/>
          <w:szCs w:val="28"/>
        </w:rPr>
        <w:t xml:space="preserve">Пунктом 2 Правил государственной регистрации медицинских изделий, утвержденных постановлением Правительства Российской Федерации от 27.12.2012 № 1416 (далее – Правила), установлено, что государственной регистрации подлежат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(изготовителем)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w:t>
      </w:r>
    </w:p>
    <w:p w14:paraId="044F691F" w14:textId="59C525A8" w:rsidR="00D63BEB" w:rsidRDefault="00D63BEB" w:rsidP="00D63BEB">
      <w:pPr>
        <w:pStyle w:val="Default"/>
        <w:rPr>
          <w:color w:val="auto"/>
          <w:sz w:val="28"/>
          <w:szCs w:val="28"/>
        </w:rPr>
      </w:pPr>
      <w:r>
        <w:rPr>
          <w:color w:val="auto"/>
          <w:sz w:val="28"/>
          <w:szCs w:val="28"/>
        </w:rPr>
        <w:lastRenderedPageBreak/>
        <w:t>Согласно пункту 6 Правил документом, подтверждающим факт государственной регистрации медицинского изделия, является регистрационное удостоверение на медицинское изделие. Учитывая изложенное, включение заказчиком требования о предоставлении поставщиком регистрационного удостоверения на медицинское изделие полагаем обоснованным при осуществлении закупки холодильного/морозильного оборудования в медицинских целях.</w:t>
      </w:r>
    </w:p>
    <w:tbl>
      <w:tblPr>
        <w:tblW w:w="1021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105"/>
        <w:gridCol w:w="5105"/>
      </w:tblGrid>
      <w:tr w:rsidR="00D63BEB" w14:paraId="1F52394A" w14:textId="77777777" w:rsidTr="00D63BEB">
        <w:tblPrEx>
          <w:tblCellMar>
            <w:top w:w="0" w:type="dxa"/>
            <w:bottom w:w="0" w:type="dxa"/>
          </w:tblCellMar>
        </w:tblPrEx>
        <w:trPr>
          <w:trHeight w:val="288"/>
        </w:trPr>
        <w:tc>
          <w:tcPr>
            <w:tcW w:w="5105" w:type="dxa"/>
            <w:tcBorders>
              <w:top w:val="none" w:sz="6" w:space="0" w:color="auto"/>
              <w:bottom w:val="none" w:sz="6" w:space="0" w:color="auto"/>
              <w:right w:val="none" w:sz="6" w:space="0" w:color="auto"/>
            </w:tcBorders>
          </w:tcPr>
          <w:p w14:paraId="75806D53" w14:textId="369A553F" w:rsidR="00D63BEB" w:rsidRDefault="00D63BEB">
            <w:pPr>
              <w:pStyle w:val="Default"/>
              <w:rPr>
                <w:sz w:val="28"/>
                <w:szCs w:val="28"/>
              </w:rPr>
            </w:pPr>
            <w:r>
              <w:rPr>
                <w:sz w:val="28"/>
                <w:szCs w:val="28"/>
              </w:rPr>
              <w:t xml:space="preserve">Заместитель директора Департамента </w:t>
            </w:r>
          </w:p>
        </w:tc>
        <w:tc>
          <w:tcPr>
            <w:tcW w:w="5105" w:type="dxa"/>
            <w:tcBorders>
              <w:top w:val="none" w:sz="6" w:space="0" w:color="auto"/>
              <w:left w:val="none" w:sz="6" w:space="0" w:color="auto"/>
              <w:bottom w:val="none" w:sz="6" w:space="0" w:color="auto"/>
            </w:tcBorders>
          </w:tcPr>
          <w:p w14:paraId="5AEF09A7" w14:textId="77777777" w:rsidR="00D63BEB" w:rsidRDefault="00D63BEB">
            <w:pPr>
              <w:pStyle w:val="Default"/>
              <w:rPr>
                <w:sz w:val="28"/>
                <w:szCs w:val="28"/>
              </w:rPr>
            </w:pPr>
            <w:r>
              <w:rPr>
                <w:sz w:val="28"/>
                <w:szCs w:val="28"/>
              </w:rPr>
              <w:t xml:space="preserve">Н.Д. </w:t>
            </w:r>
            <w:proofErr w:type="spellStart"/>
            <w:r>
              <w:rPr>
                <w:sz w:val="28"/>
                <w:szCs w:val="28"/>
              </w:rPr>
              <w:t>Пакскина</w:t>
            </w:r>
            <w:proofErr w:type="spellEnd"/>
            <w:r>
              <w:rPr>
                <w:sz w:val="28"/>
                <w:szCs w:val="28"/>
              </w:rPr>
              <w:t xml:space="preserve"> </w:t>
            </w:r>
          </w:p>
        </w:tc>
      </w:tr>
    </w:tbl>
    <w:p w14:paraId="1BED1A1F" w14:textId="600D82E8" w:rsidR="00D63BEB" w:rsidRDefault="00D63BEB" w:rsidP="00D63BEB">
      <w:pPr>
        <w:pStyle w:val="ac"/>
      </w:pPr>
      <w:r w:rsidRPr="00D63BEB">
        <w:rPr>
          <w:b/>
          <w:bCs/>
          <w:u w:val="single"/>
        </w:rPr>
        <w:t>П</w:t>
      </w:r>
      <w:r w:rsidRPr="00D63BEB">
        <w:rPr>
          <w:b/>
          <w:bCs/>
          <w:u w:val="single"/>
        </w:rPr>
        <w:t xml:space="preserve">исьмо Росздравнадзора от 26.07.2023 </w:t>
      </w:r>
      <w:proofErr w:type="gramStart"/>
      <w:r w:rsidRPr="00D63BEB">
        <w:rPr>
          <w:b/>
          <w:bCs/>
          <w:u w:val="single"/>
        </w:rPr>
        <w:t>№09-14049</w:t>
      </w:r>
      <w:proofErr w:type="gramEnd"/>
      <w:r>
        <w:t xml:space="preserve">, на ту же тему, </w:t>
      </w:r>
    </w:p>
    <w:p w14:paraId="700A9C0D" w14:textId="550B756C" w:rsidR="00D63BEB" w:rsidRDefault="00D63BEB" w:rsidP="00D63BEB">
      <w:pPr>
        <w:pStyle w:val="ac"/>
      </w:pPr>
      <w:r>
        <w:rPr>
          <w:noProof/>
          <w14:ligatures w14:val="standardContextual"/>
        </w:rPr>
        <w:drawing>
          <wp:inline distT="0" distB="0" distL="0" distR="0" wp14:anchorId="33A498D6" wp14:editId="35272A4F">
            <wp:extent cx="4533900" cy="6877264"/>
            <wp:effectExtent l="0" t="0" r="0" b="0"/>
            <wp:docPr id="4503195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19565" name="Рисунок 450319565"/>
                    <pic:cNvPicPr/>
                  </pic:nvPicPr>
                  <pic:blipFill>
                    <a:blip r:embed="rId5">
                      <a:extLst>
                        <a:ext uri="{28A0092B-C50C-407E-A947-70E740481C1C}">
                          <a14:useLocalDpi xmlns:a14="http://schemas.microsoft.com/office/drawing/2010/main" val="0"/>
                        </a:ext>
                      </a:extLst>
                    </a:blip>
                    <a:stretch>
                      <a:fillRect/>
                    </a:stretch>
                  </pic:blipFill>
                  <pic:spPr>
                    <a:xfrm>
                      <a:off x="0" y="0"/>
                      <a:ext cx="4537881" cy="6883303"/>
                    </a:xfrm>
                    <a:prstGeom prst="rect">
                      <a:avLst/>
                    </a:prstGeom>
                  </pic:spPr>
                </pic:pic>
              </a:graphicData>
            </a:graphic>
          </wp:inline>
        </w:drawing>
      </w:r>
    </w:p>
    <w:p w14:paraId="5F81FC5C" w14:textId="6304ECFF" w:rsidR="00D63BEB" w:rsidRDefault="00D63BEB" w:rsidP="00D63BEB">
      <w:pPr>
        <w:pStyle w:val="ac"/>
      </w:pPr>
      <w:r>
        <w:rPr>
          <w:noProof/>
          <w14:ligatures w14:val="standardContextual"/>
        </w:rPr>
        <w:lastRenderedPageBreak/>
        <w:drawing>
          <wp:inline distT="0" distB="0" distL="0" distR="0" wp14:anchorId="4F04E8B9" wp14:editId="33B47028">
            <wp:extent cx="4457700" cy="5813934"/>
            <wp:effectExtent l="0" t="0" r="0" b="0"/>
            <wp:docPr id="10905683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568327" name="Рисунок 1090568327"/>
                    <pic:cNvPicPr/>
                  </pic:nvPicPr>
                  <pic:blipFill>
                    <a:blip r:embed="rId6">
                      <a:extLst>
                        <a:ext uri="{28A0092B-C50C-407E-A947-70E740481C1C}">
                          <a14:useLocalDpi xmlns:a14="http://schemas.microsoft.com/office/drawing/2010/main" val="0"/>
                        </a:ext>
                      </a:extLst>
                    </a:blip>
                    <a:stretch>
                      <a:fillRect/>
                    </a:stretch>
                  </pic:blipFill>
                  <pic:spPr>
                    <a:xfrm>
                      <a:off x="0" y="0"/>
                      <a:ext cx="4460029" cy="5816971"/>
                    </a:xfrm>
                    <a:prstGeom prst="rect">
                      <a:avLst/>
                    </a:prstGeom>
                  </pic:spPr>
                </pic:pic>
              </a:graphicData>
            </a:graphic>
          </wp:inline>
        </w:drawing>
      </w:r>
    </w:p>
    <w:p w14:paraId="29E6BDBD" w14:textId="77777777" w:rsidR="00D63BEB" w:rsidRPr="00D63BEB" w:rsidRDefault="00D63BEB" w:rsidP="00D63BEB">
      <w:pPr>
        <w:rPr>
          <w:b/>
          <w:bCs/>
          <w:sz w:val="36"/>
          <w:szCs w:val="36"/>
        </w:rPr>
      </w:pPr>
    </w:p>
    <w:sectPr w:rsidR="00D63BEB" w:rsidRPr="00D63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altName w:val="Times New Roman PSMT"/>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53"/>
    <w:rsid w:val="003F6EAE"/>
    <w:rsid w:val="00762EC7"/>
    <w:rsid w:val="00B515A8"/>
    <w:rsid w:val="00C01290"/>
    <w:rsid w:val="00D51353"/>
    <w:rsid w:val="00D63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5368"/>
  <w15:chartTrackingRefBased/>
  <w15:docId w15:val="{883DEA68-F6E8-48C2-94ED-C41582E4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513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D513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D51353"/>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D51353"/>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D51353"/>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D51353"/>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D51353"/>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D51353"/>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D51353"/>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353"/>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D51353"/>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D51353"/>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D51353"/>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D51353"/>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D51353"/>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D51353"/>
    <w:rPr>
      <w:rFonts w:eastAsiaTheme="majorEastAsia" w:cstheme="majorBidi"/>
      <w:color w:val="595959" w:themeColor="text1" w:themeTint="A6"/>
    </w:rPr>
  </w:style>
  <w:style w:type="character" w:customStyle="1" w:styleId="80">
    <w:name w:val="Заголовок 8 Знак"/>
    <w:basedOn w:val="a0"/>
    <w:link w:val="8"/>
    <w:uiPriority w:val="9"/>
    <w:semiHidden/>
    <w:rsid w:val="00D51353"/>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D51353"/>
    <w:rPr>
      <w:rFonts w:eastAsiaTheme="majorEastAsia" w:cstheme="majorBidi"/>
      <w:color w:val="272727" w:themeColor="text1" w:themeTint="D8"/>
    </w:rPr>
  </w:style>
  <w:style w:type="paragraph" w:styleId="a3">
    <w:name w:val="Title"/>
    <w:basedOn w:val="a"/>
    <w:next w:val="a"/>
    <w:link w:val="a4"/>
    <w:uiPriority w:val="10"/>
    <w:qFormat/>
    <w:rsid w:val="00D513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D5135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51353"/>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D51353"/>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D51353"/>
    <w:pPr>
      <w:spacing w:before="160"/>
      <w:jc w:val="center"/>
    </w:pPr>
    <w:rPr>
      <w:i/>
      <w:iCs/>
      <w:color w:val="404040" w:themeColor="text1" w:themeTint="BF"/>
    </w:rPr>
  </w:style>
  <w:style w:type="character" w:customStyle="1" w:styleId="22">
    <w:name w:val="Цитата 2 Знак"/>
    <w:basedOn w:val="a0"/>
    <w:link w:val="21"/>
    <w:uiPriority w:val="29"/>
    <w:rsid w:val="00D51353"/>
    <w:rPr>
      <w:i/>
      <w:iCs/>
      <w:color w:val="404040" w:themeColor="text1" w:themeTint="BF"/>
    </w:rPr>
  </w:style>
  <w:style w:type="paragraph" w:styleId="a7">
    <w:name w:val="List Paragraph"/>
    <w:basedOn w:val="a"/>
    <w:uiPriority w:val="34"/>
    <w:qFormat/>
    <w:rsid w:val="00D51353"/>
    <w:pPr>
      <w:ind w:left="720"/>
      <w:contextualSpacing/>
    </w:pPr>
  </w:style>
  <w:style w:type="character" w:styleId="a8">
    <w:name w:val="Intense Emphasis"/>
    <w:basedOn w:val="a0"/>
    <w:uiPriority w:val="21"/>
    <w:qFormat/>
    <w:rsid w:val="00D51353"/>
    <w:rPr>
      <w:i/>
      <w:iCs/>
      <w:color w:val="0F4761" w:themeColor="accent1" w:themeShade="BF"/>
    </w:rPr>
  </w:style>
  <w:style w:type="paragraph" w:styleId="a9">
    <w:name w:val="Intense Quote"/>
    <w:basedOn w:val="a"/>
    <w:next w:val="a"/>
    <w:link w:val="aa"/>
    <w:uiPriority w:val="30"/>
    <w:qFormat/>
    <w:rsid w:val="00D513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D51353"/>
    <w:rPr>
      <w:i/>
      <w:iCs/>
      <w:color w:val="0F4761" w:themeColor="accent1" w:themeShade="BF"/>
    </w:rPr>
  </w:style>
  <w:style w:type="character" w:styleId="ab">
    <w:name w:val="Intense Reference"/>
    <w:basedOn w:val="a0"/>
    <w:uiPriority w:val="32"/>
    <w:qFormat/>
    <w:rsid w:val="00D51353"/>
    <w:rPr>
      <w:b/>
      <w:bCs/>
      <w:smallCaps/>
      <w:color w:val="0F4761" w:themeColor="accent1" w:themeShade="BF"/>
      <w:spacing w:val="5"/>
    </w:rPr>
  </w:style>
  <w:style w:type="paragraph" w:styleId="ac">
    <w:name w:val="Normal (Web)"/>
    <w:basedOn w:val="a"/>
    <w:uiPriority w:val="99"/>
    <w:semiHidden/>
    <w:unhideWhenUsed/>
    <w:rsid w:val="00D63BE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d">
    <w:name w:val="Hyperlink"/>
    <w:basedOn w:val="a0"/>
    <w:uiPriority w:val="99"/>
    <w:unhideWhenUsed/>
    <w:rsid w:val="00D63BEB"/>
    <w:rPr>
      <w:color w:val="467886" w:themeColor="hyperlink"/>
      <w:u w:val="single"/>
    </w:rPr>
  </w:style>
  <w:style w:type="character" w:styleId="ae">
    <w:name w:val="Unresolved Mention"/>
    <w:basedOn w:val="a0"/>
    <w:uiPriority w:val="99"/>
    <w:semiHidden/>
    <w:unhideWhenUsed/>
    <w:rsid w:val="00D63BEB"/>
    <w:rPr>
      <w:color w:val="605E5C"/>
      <w:shd w:val="clear" w:color="auto" w:fill="E1DFDD"/>
    </w:rPr>
  </w:style>
  <w:style w:type="paragraph" w:customStyle="1" w:styleId="Default">
    <w:name w:val="Default"/>
    <w:rsid w:val="00D63BEB"/>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99052">
      <w:bodyDiv w:val="1"/>
      <w:marLeft w:val="0"/>
      <w:marRight w:val="0"/>
      <w:marTop w:val="0"/>
      <w:marBottom w:val="0"/>
      <w:divBdr>
        <w:top w:val="none" w:sz="0" w:space="0" w:color="auto"/>
        <w:left w:val="none" w:sz="0" w:space="0" w:color="auto"/>
        <w:bottom w:val="none" w:sz="0" w:space="0" w:color="auto"/>
        <w:right w:val="none" w:sz="0" w:space="0" w:color="auto"/>
      </w:divBdr>
    </w:div>
    <w:div w:id="15764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s://piretta.ru/accumulation_equip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v.perminova@piretta.ru</dc:creator>
  <cp:keywords/>
  <dc:description/>
  <cp:lastModifiedBy>v.perminova@piretta.ru</cp:lastModifiedBy>
  <cp:revision>3</cp:revision>
  <dcterms:created xsi:type="dcterms:W3CDTF">2024-02-20T09:01:00Z</dcterms:created>
  <dcterms:modified xsi:type="dcterms:W3CDTF">2024-02-20T09:12:00Z</dcterms:modified>
</cp:coreProperties>
</file>