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3A4" w14:textId="5D300E67" w:rsidR="00891F27" w:rsidRPr="00DF075B" w:rsidRDefault="00343F96" w:rsidP="00891F27">
      <w:pPr>
        <w:spacing w:after="0" w:line="276" w:lineRule="auto"/>
        <w:ind w:firstLine="567"/>
        <w:jc w:val="center"/>
        <w:rPr>
          <w:rFonts w:ascii="Calibri" w:hAnsi="Calibri" w:cs="Calibri"/>
          <w:sz w:val="22"/>
          <w:szCs w:val="22"/>
        </w:rPr>
      </w:pPr>
      <w:r>
        <w:rPr>
          <w:rFonts w:ascii="Calibri" w:hAnsi="Calibri" w:cs="Calibri"/>
          <w:b/>
          <w:bCs/>
          <w:sz w:val="22"/>
          <w:szCs w:val="22"/>
        </w:rPr>
        <w:t xml:space="preserve">Обзор : </w:t>
      </w:r>
      <w:r w:rsidR="00891F27" w:rsidRPr="00DF075B">
        <w:rPr>
          <w:rFonts w:ascii="Calibri" w:hAnsi="Calibri" w:cs="Calibri"/>
          <w:b/>
          <w:bCs/>
          <w:sz w:val="22"/>
          <w:szCs w:val="22"/>
        </w:rPr>
        <w:t>Судебная практика о необходимости оснащения ГОУ</w:t>
      </w:r>
    </w:p>
    <w:p w14:paraId="44507D13" w14:textId="77777777" w:rsidR="00891F27" w:rsidRPr="00DF075B" w:rsidRDefault="00891F27" w:rsidP="00891F27">
      <w:pPr>
        <w:spacing w:after="0" w:line="276" w:lineRule="auto"/>
        <w:ind w:firstLine="567"/>
        <w:jc w:val="both"/>
        <w:rPr>
          <w:rFonts w:ascii="Calibri" w:hAnsi="Calibri" w:cs="Calibri"/>
          <w:sz w:val="22"/>
          <w:szCs w:val="22"/>
        </w:rPr>
      </w:pPr>
    </w:p>
    <w:p w14:paraId="1EDA23A5" w14:textId="77777777" w:rsidR="00891F27" w:rsidRPr="00DF075B" w:rsidRDefault="00891F27" w:rsidP="00891F27">
      <w:pPr>
        <w:spacing w:after="0" w:line="276" w:lineRule="auto"/>
        <w:ind w:firstLine="567"/>
        <w:jc w:val="both"/>
        <w:rPr>
          <w:rFonts w:ascii="Calibri" w:hAnsi="Calibri" w:cs="Calibri"/>
          <w:sz w:val="22"/>
          <w:szCs w:val="22"/>
        </w:rPr>
      </w:pPr>
      <w:r w:rsidRPr="00891F27">
        <w:rPr>
          <w:rFonts w:ascii="Calibri" w:hAnsi="Calibri" w:cs="Calibri"/>
          <w:sz w:val="22"/>
          <w:szCs w:val="22"/>
        </w:rPr>
        <w:t xml:space="preserve">В последнее время участились проверки Росприроднадзором коммерческих организаций, в ходе которых выявляются факты выбросов загрязняющих веществ в атмосферный воздух без использования соответствующих средств и установок очистки газов (ГОУ). Такие случаи надзорный орган квалифицирует как нарушение Федерального закона от 04.05.1999 № 96-ФЗ «Об охране атмосферного воздуха» (далее – Закон № 96-ФЗ), что приводит к многочисленным судебным спорам. </w:t>
      </w:r>
    </w:p>
    <w:p w14:paraId="61B01091" w14:textId="29887FB0" w:rsidR="00891F27" w:rsidRPr="00891F27" w:rsidRDefault="00891F27" w:rsidP="00891F27">
      <w:pPr>
        <w:spacing w:after="0" w:line="276" w:lineRule="auto"/>
        <w:ind w:firstLine="567"/>
        <w:jc w:val="both"/>
        <w:rPr>
          <w:rFonts w:ascii="Calibri" w:hAnsi="Calibri" w:cs="Calibri"/>
          <w:sz w:val="22"/>
          <w:szCs w:val="22"/>
        </w:rPr>
      </w:pPr>
      <w:r w:rsidRPr="00891F27">
        <w:rPr>
          <w:rFonts w:ascii="Calibri" w:hAnsi="Calibri" w:cs="Calibri"/>
          <w:sz w:val="22"/>
          <w:szCs w:val="22"/>
        </w:rPr>
        <w:t xml:space="preserve">Действительно, статья 30 Закона № 96-ФЗ обязывает хозяйствующие субъекты, имеющие стационарные источники выбросов, соблюдать правила эксплуатации ГОУ и оборудования для контроля за выбросами. Однако, является ли наличие ГОУ безусловной обязанностью для всех предприятий? Однозначного ответа в законодательстве нет, что и порождает разногласия между Росприроднадзором и бизнесом. </w:t>
      </w:r>
    </w:p>
    <w:p w14:paraId="5EDB1B37" w14:textId="77215403" w:rsidR="00891F27" w:rsidRPr="00DF075B" w:rsidRDefault="00891F27" w:rsidP="00891F27">
      <w:pPr>
        <w:spacing w:after="0" w:line="276" w:lineRule="auto"/>
        <w:ind w:firstLine="567"/>
        <w:jc w:val="both"/>
        <w:rPr>
          <w:rFonts w:ascii="Calibri" w:hAnsi="Calibri" w:cs="Calibri"/>
          <w:sz w:val="22"/>
          <w:szCs w:val="22"/>
        </w:rPr>
      </w:pPr>
      <w:r w:rsidRPr="00DF075B">
        <w:rPr>
          <w:rFonts w:ascii="Calibri" w:hAnsi="Calibri" w:cs="Calibri"/>
          <w:sz w:val="22"/>
          <w:szCs w:val="22"/>
        </w:rPr>
        <w:t xml:space="preserve">При этом судебная практика демонстрирует гибкий подход к вопросу необходимости оснащения газоочистным оборудованием (ГОУ) на промышленных предприятиях. Ряд судебных решений признают незаконными предписания Росприроднадзора об установке ГОУ в тех случаях, когда предприятие обеспечивает соблюдение нормативов допустимых выбросов иным способом. </w:t>
      </w:r>
    </w:p>
    <w:p w14:paraId="16AFFA9A" w14:textId="77777777" w:rsidR="00891F27" w:rsidRPr="00DF075B" w:rsidRDefault="00891F27" w:rsidP="00891F27">
      <w:pPr>
        <w:spacing w:after="0" w:line="276" w:lineRule="auto"/>
        <w:ind w:firstLine="567"/>
        <w:jc w:val="both"/>
        <w:rPr>
          <w:rFonts w:ascii="Calibri" w:hAnsi="Calibri" w:cs="Calibri"/>
          <w:sz w:val="22"/>
          <w:szCs w:val="22"/>
        </w:rPr>
      </w:pPr>
      <w:r w:rsidRPr="00DF075B">
        <w:rPr>
          <w:rFonts w:ascii="Calibri" w:hAnsi="Calibri" w:cs="Calibri"/>
          <w:sz w:val="22"/>
          <w:szCs w:val="22"/>
        </w:rPr>
        <w:t xml:space="preserve">Так, в деле № А72-4091/2021 суд пришел к выводу, что обязанность по оснащению объекта хозяйственной деятельности ГОУ направлена на минимизацию выбросов вредных (загрязняющих) веществ в атмосферный воздух и недопущение превышения установленных нормативов. Если же источник выбросов по своим технологическим возможностям не допускает превышение установленных нормативов, то хозяйствующий субъект не обязан иметь на данном объекте ГОУ. </w:t>
      </w:r>
    </w:p>
    <w:p w14:paraId="782DB5D1" w14:textId="77777777" w:rsidR="00891F27" w:rsidRPr="00DF075B" w:rsidRDefault="00891F27" w:rsidP="00891F27">
      <w:pPr>
        <w:spacing w:after="0" w:line="276" w:lineRule="auto"/>
        <w:ind w:firstLine="567"/>
        <w:jc w:val="both"/>
        <w:rPr>
          <w:rFonts w:ascii="Calibri" w:hAnsi="Calibri" w:cs="Calibri"/>
          <w:sz w:val="22"/>
          <w:szCs w:val="22"/>
        </w:rPr>
      </w:pPr>
      <w:r w:rsidRPr="00DF075B">
        <w:rPr>
          <w:rFonts w:ascii="Calibri" w:hAnsi="Calibri" w:cs="Calibri"/>
          <w:sz w:val="22"/>
          <w:szCs w:val="22"/>
        </w:rPr>
        <w:t xml:space="preserve">В постановлении арбитражного апелляционного суда по делу № А72-10064/2020 суд, признавая незаконным предписание об установке ГОУ, исходил из того, что такая установка не была предусмотрена ни проектной документацией предприятия, ни проектом нормативов допустимых выбросов, согласованным с Росприроднадзором. При этом суд отметил, что предприятие надлежащим образом ведет учет выбросов, привлекая аккредитованную лабораторию, и, главное, соблюдает требования природоохранного законодательства, не допуская превышения установленных нормативов допустимых выбросов. </w:t>
      </w:r>
    </w:p>
    <w:p w14:paraId="31B9834F" w14:textId="71E64431" w:rsidR="00891F27" w:rsidRPr="00DF075B" w:rsidRDefault="00891F27" w:rsidP="00DF075B">
      <w:pPr>
        <w:spacing w:after="0" w:line="276" w:lineRule="auto"/>
        <w:ind w:firstLine="567"/>
        <w:jc w:val="both"/>
        <w:rPr>
          <w:rFonts w:ascii="Calibri" w:hAnsi="Calibri" w:cs="Calibri"/>
          <w:b/>
          <w:bCs/>
          <w:kern w:val="0"/>
          <w:sz w:val="22"/>
          <w:szCs w:val="22"/>
        </w:rPr>
      </w:pPr>
      <w:r w:rsidRPr="00DF075B">
        <w:rPr>
          <w:rFonts w:ascii="Calibri" w:hAnsi="Calibri" w:cs="Calibri"/>
          <w:sz w:val="22"/>
          <w:szCs w:val="22"/>
        </w:rPr>
        <w:t>Данный подход также подтверждается Постановлением 11ААС от 31.01.2023 по делу № А72-6212/2021 и Постановлением</w:t>
      </w:r>
      <w:r w:rsidRPr="00DF075B">
        <w:rPr>
          <w:rFonts w:ascii="Calibri" w:hAnsi="Calibri" w:cs="Calibri"/>
          <w:kern w:val="0"/>
          <w:sz w:val="22"/>
          <w:szCs w:val="22"/>
        </w:rPr>
        <w:t xml:space="preserve"> Арбитражного Суда Северо-Кавказского округа по делу N </w:t>
      </w:r>
      <w:r w:rsidRPr="00DF075B">
        <w:rPr>
          <w:rFonts w:ascii="Calibri" w:hAnsi="Calibri" w:cs="Calibri"/>
          <w:sz w:val="22"/>
          <w:szCs w:val="22"/>
        </w:rPr>
        <w:t>А32-16369/2024.</w:t>
      </w:r>
    </w:p>
    <w:p w14:paraId="582E469C" w14:textId="4FBED1D4" w:rsidR="00891F27" w:rsidRPr="00DF075B" w:rsidRDefault="00891F27" w:rsidP="00891F27">
      <w:pPr>
        <w:spacing w:after="0" w:line="276" w:lineRule="auto"/>
        <w:ind w:firstLine="567"/>
        <w:jc w:val="both"/>
        <w:rPr>
          <w:rFonts w:ascii="Calibri" w:hAnsi="Calibri" w:cs="Calibri"/>
          <w:b/>
          <w:bCs/>
          <w:sz w:val="22"/>
          <w:szCs w:val="22"/>
        </w:rPr>
      </w:pPr>
      <w:r w:rsidRPr="00DF075B">
        <w:rPr>
          <w:rFonts w:ascii="Calibri" w:hAnsi="Calibri" w:cs="Calibri"/>
          <w:b/>
          <w:bCs/>
          <w:sz w:val="22"/>
          <w:szCs w:val="22"/>
        </w:rPr>
        <w:t>Обоснование позиции судов:</w:t>
      </w:r>
    </w:p>
    <w:p w14:paraId="057C854D" w14:textId="77777777" w:rsidR="00DF075B" w:rsidRPr="00DF075B" w:rsidRDefault="00DF075B" w:rsidP="00891F27">
      <w:pPr>
        <w:spacing w:after="0" w:line="276" w:lineRule="auto"/>
        <w:ind w:firstLine="567"/>
        <w:jc w:val="both"/>
        <w:rPr>
          <w:rFonts w:ascii="Calibri" w:hAnsi="Calibri" w:cs="Calibri"/>
          <w:sz w:val="22"/>
          <w:szCs w:val="22"/>
        </w:rPr>
      </w:pPr>
      <w:r w:rsidRPr="00DF075B">
        <w:rPr>
          <w:rFonts w:ascii="Calibri" w:hAnsi="Calibri" w:cs="Calibri"/>
          <w:sz w:val="22"/>
          <w:szCs w:val="22"/>
        </w:rPr>
        <w:t>Суды, рассматривая подобные дела, опираются на целостное понимание законов об охране природы. В частности, они учитывают статью 34 Федерального закона № 7-ФЗ «Об охране окружающей среды», которая определяет общие правила для предприятий, чья деятельность оказывает негативное воздействие на природу. Статья 21 этого же закона устанавливает нормативы допустимого воздействия, включая и нормативы выбросов вредных веществ. Это значит, что если предприятие соблюдает эти нормативы, то уровень негативного воздействия считается допустимым и разрешенным законом.</w:t>
      </w:r>
    </w:p>
    <w:p w14:paraId="76437B58" w14:textId="77777777" w:rsidR="00DF075B" w:rsidRPr="00DF075B" w:rsidRDefault="00DF075B" w:rsidP="00891F27">
      <w:pPr>
        <w:spacing w:after="0" w:line="276" w:lineRule="auto"/>
        <w:ind w:firstLine="567"/>
        <w:jc w:val="both"/>
        <w:rPr>
          <w:rFonts w:ascii="Calibri" w:hAnsi="Calibri" w:cs="Calibri"/>
          <w:sz w:val="22"/>
          <w:szCs w:val="22"/>
        </w:rPr>
      </w:pPr>
      <w:r w:rsidRPr="00DF075B">
        <w:rPr>
          <w:rFonts w:ascii="Calibri" w:hAnsi="Calibri" w:cs="Calibri"/>
          <w:sz w:val="22"/>
          <w:szCs w:val="22"/>
        </w:rPr>
        <w:t>Если говорить об охране атмосферного воздуха, то требование об установке газоочистного оборудования призвано снизить негативное воздействие до безопасного уровня, то есть до пределов, установленных нормативами. Однако, если предприятие изначально не превышает установленные нормативы выбросов вредных веществ (что может быть подтверждено данными производственного экологического контроля или результатами анализов, проведенных как самим предприятием, так и независимой лабораторией), то у него нет обязанности устанавливать газоочистные установки на своем производстве.</w:t>
      </w:r>
    </w:p>
    <w:p w14:paraId="5B1F884F" w14:textId="7883C33F" w:rsidR="000E293A" w:rsidRDefault="00DF075B" w:rsidP="00DF075B">
      <w:pPr>
        <w:spacing w:after="0" w:line="276" w:lineRule="auto"/>
        <w:ind w:firstLine="567"/>
        <w:jc w:val="both"/>
        <w:rPr>
          <w:rFonts w:ascii="Calibri" w:hAnsi="Calibri" w:cs="Calibri"/>
          <w:sz w:val="22"/>
          <w:szCs w:val="22"/>
        </w:rPr>
      </w:pPr>
      <w:r w:rsidRPr="00DF075B">
        <w:rPr>
          <w:rFonts w:ascii="Calibri" w:hAnsi="Calibri" w:cs="Calibri"/>
          <w:sz w:val="22"/>
          <w:szCs w:val="22"/>
        </w:rPr>
        <w:t>Таким образом, оснащение стационарного источника выбросов ГОУ подлежит в том случае, если не соблюдаются нормативы допустимых выбросов или технологические нормативы и нормативы качества атмосферного воздуха.</w:t>
      </w:r>
    </w:p>
    <w:p w14:paraId="6DBEF7D9" w14:textId="5DB08EAE" w:rsidR="00611A4F" w:rsidRDefault="00611A4F" w:rsidP="00611A4F">
      <w:pPr>
        <w:spacing w:line="276" w:lineRule="auto"/>
        <w:ind w:firstLine="567"/>
        <w:jc w:val="both"/>
        <w:rPr>
          <w:rFonts w:ascii="Calibri" w:hAnsi="Calibri" w:cs="Calibri"/>
          <w:sz w:val="22"/>
          <w:szCs w:val="22"/>
        </w:rPr>
      </w:pPr>
      <w:r>
        <w:rPr>
          <w:rFonts w:ascii="Calibri" w:hAnsi="Calibri" w:cs="Calibri"/>
          <w:sz w:val="22"/>
          <w:szCs w:val="22"/>
        </w:rPr>
        <w:lastRenderedPageBreak/>
        <w:t>Дополнительно можно прочитать развернутую статью с анализом подобных случаев-«</w:t>
      </w:r>
      <w:r w:rsidRPr="00611A4F">
        <w:rPr>
          <w:rFonts w:ascii="Calibri" w:hAnsi="Calibri" w:cs="Calibri"/>
          <w:b/>
          <w:bCs/>
          <w:sz w:val="22"/>
          <w:szCs w:val="22"/>
        </w:rPr>
        <w:t>Обзор судебной практики по спорам, связанным с оснащением источников выбросов газоочистным оборудованием</w:t>
      </w:r>
      <w:r>
        <w:rPr>
          <w:rFonts w:ascii="Calibri" w:hAnsi="Calibri" w:cs="Calibri"/>
          <w:b/>
          <w:bCs/>
          <w:sz w:val="22"/>
          <w:szCs w:val="22"/>
        </w:rPr>
        <w:t xml:space="preserve">» из </w:t>
      </w:r>
      <w:proofErr w:type="spellStart"/>
      <w:r>
        <w:rPr>
          <w:rFonts w:ascii="Calibri" w:hAnsi="Calibri" w:cs="Calibri"/>
          <w:b/>
          <w:bCs/>
          <w:sz w:val="22"/>
          <w:szCs w:val="22"/>
          <w:lang w:val="en-US"/>
        </w:rPr>
        <w:t>Ecostandart</w:t>
      </w:r>
      <w:proofErr w:type="spellEnd"/>
      <w:r w:rsidRPr="00611A4F">
        <w:rPr>
          <w:rFonts w:ascii="Calibri" w:hAnsi="Calibri" w:cs="Calibri"/>
          <w:b/>
          <w:bCs/>
          <w:sz w:val="22"/>
          <w:szCs w:val="22"/>
        </w:rPr>
        <w:t>.</w:t>
      </w:r>
      <w:r>
        <w:rPr>
          <w:rFonts w:ascii="Calibri" w:hAnsi="Calibri" w:cs="Calibri"/>
          <w:b/>
          <w:bCs/>
          <w:sz w:val="22"/>
          <w:szCs w:val="22"/>
          <w:lang w:val="en-US"/>
        </w:rPr>
        <w:t>journal</w:t>
      </w:r>
      <w:r w:rsidRPr="00611A4F">
        <w:rPr>
          <w:rFonts w:ascii="Calibri" w:hAnsi="Calibri" w:cs="Calibri"/>
          <w:b/>
          <w:bCs/>
          <w:sz w:val="22"/>
          <w:szCs w:val="22"/>
        </w:rPr>
        <w:t xml:space="preserve"> </w:t>
      </w:r>
    </w:p>
    <w:p w14:paraId="2E4EEBAF" w14:textId="78DABE24" w:rsidR="00611A4F" w:rsidRDefault="00611A4F" w:rsidP="00DF075B">
      <w:pPr>
        <w:spacing w:after="0" w:line="276" w:lineRule="auto"/>
        <w:ind w:firstLine="567"/>
        <w:jc w:val="both"/>
        <w:rPr>
          <w:rFonts w:ascii="Calibri" w:hAnsi="Calibri" w:cs="Calibri"/>
          <w:sz w:val="22"/>
          <w:szCs w:val="22"/>
        </w:rPr>
      </w:pPr>
      <w:hyperlink r:id="rId6" w:history="1">
        <w:r w:rsidRPr="00E02D3B">
          <w:rPr>
            <w:rStyle w:val="ac"/>
            <w:rFonts w:ascii="Calibri" w:hAnsi="Calibri" w:cs="Calibri"/>
            <w:sz w:val="22"/>
            <w:szCs w:val="22"/>
          </w:rPr>
          <w:t>https://journal.ecostandard.ru/eco/razbor-zakonodatelstva/obzor-sudebnoy-praktiki-po-sporam-svyazannym-s-osnashcheniem-istochnikov-vybrosov-gazoochistnym-obor/</w:t>
        </w:r>
      </w:hyperlink>
    </w:p>
    <w:p w14:paraId="48E178B8" w14:textId="77777777" w:rsidR="00611A4F" w:rsidRDefault="00611A4F" w:rsidP="00DF075B">
      <w:pPr>
        <w:spacing w:after="0" w:line="276" w:lineRule="auto"/>
        <w:ind w:firstLine="567"/>
        <w:jc w:val="both"/>
        <w:rPr>
          <w:rFonts w:ascii="Calibri" w:hAnsi="Calibri" w:cs="Calibri"/>
          <w:sz w:val="22"/>
          <w:szCs w:val="22"/>
        </w:rPr>
      </w:pPr>
    </w:p>
    <w:p w14:paraId="1E238135" w14:textId="67FCAD78" w:rsidR="00611A4F" w:rsidRPr="00611A4F" w:rsidRDefault="00611A4F" w:rsidP="00611A4F">
      <w:pPr>
        <w:spacing w:after="0" w:line="276" w:lineRule="auto"/>
        <w:ind w:firstLine="567"/>
        <w:jc w:val="center"/>
        <w:rPr>
          <w:rFonts w:ascii="Calibri" w:hAnsi="Calibri" w:cs="Calibri"/>
          <w:b/>
          <w:bCs/>
          <w:sz w:val="22"/>
          <w:szCs w:val="22"/>
        </w:rPr>
      </w:pPr>
      <w:r>
        <w:rPr>
          <w:rFonts w:ascii="Calibri" w:hAnsi="Calibri" w:cs="Calibri"/>
          <w:b/>
          <w:bCs/>
          <w:sz w:val="22"/>
          <w:szCs w:val="22"/>
        </w:rPr>
        <w:t xml:space="preserve">О камере дожига. </w:t>
      </w:r>
      <w:r w:rsidRPr="00611A4F">
        <w:rPr>
          <w:rFonts w:ascii="Calibri" w:hAnsi="Calibri" w:cs="Calibri"/>
          <w:b/>
          <w:bCs/>
          <w:sz w:val="22"/>
          <w:szCs w:val="22"/>
        </w:rPr>
        <w:t>Заключение юриста Ассоциации СЭАОВ</w:t>
      </w:r>
    </w:p>
    <w:p w14:paraId="1319668D"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Касательно камеры дожига как элемента газоочистной установки: </w:t>
      </w:r>
    </w:p>
    <w:p w14:paraId="57457EB3" w14:textId="507FE0E6"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С формальной точки зрения, камера дожига не является газоочистной установкой в классическом понимании ГОУ </w:t>
      </w:r>
      <w:proofErr w:type="gramStart"/>
      <w:r w:rsidRPr="00611A4F">
        <w:rPr>
          <w:rFonts w:ascii="Calibri" w:hAnsi="Calibri" w:cs="Calibri"/>
          <w:sz w:val="22"/>
          <w:szCs w:val="22"/>
        </w:rPr>
        <w:t>- это</w:t>
      </w:r>
      <w:proofErr w:type="gramEnd"/>
      <w:r w:rsidRPr="00611A4F">
        <w:rPr>
          <w:rFonts w:ascii="Calibri" w:hAnsi="Calibri" w:cs="Calibri"/>
          <w:sz w:val="22"/>
          <w:szCs w:val="22"/>
        </w:rPr>
        <w:t xml:space="preserve"> комплекс оборудования, предназначенный для улавливания или нейтрализации загрязняющих веществ, уже образовавшихся в результате технологического процесса. Камера дожига же (как я понимаю) уничтожает органические загрязняющие вещества путем высокотемпературного сжигания. </w:t>
      </w:r>
    </w:p>
    <w:p w14:paraId="201A7664"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Однако, по сути, камера дожига выполняет ту же функцию, что и ГОУ - снижение негативного воздействия на атмосферный воздух. Поэтому, если нет другого газоочистного оборудования, а камера дожига эффективно справляется с этой задачей, можно попробовать обосновать ее функциональное приравнивание к ГОУ. </w:t>
      </w:r>
    </w:p>
    <w:p w14:paraId="323C9A3E" w14:textId="77777777" w:rsidR="00611A4F" w:rsidRPr="00611A4F" w:rsidRDefault="00611A4F" w:rsidP="00611A4F">
      <w:pPr>
        <w:spacing w:after="0" w:line="276" w:lineRule="auto"/>
        <w:ind w:firstLine="567"/>
        <w:jc w:val="both"/>
        <w:rPr>
          <w:rFonts w:ascii="Calibri" w:hAnsi="Calibri" w:cs="Calibri"/>
          <w:sz w:val="22"/>
          <w:szCs w:val="22"/>
        </w:rPr>
      </w:pPr>
    </w:p>
    <w:p w14:paraId="59F6140A"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Что можно сделать: </w:t>
      </w:r>
    </w:p>
    <w:p w14:paraId="506BA377"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 Включить камеру дожига в реестр ГОУ. В реестре установок газоочистки можно указать камеру дожига в качестве основного элемента, обеспечивающего очистку выбросов от органических соединений. </w:t>
      </w:r>
    </w:p>
    <w:p w14:paraId="4C6AF248"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Отразить в отчетах по ПЭК, указав, что для снижения выбросов загрязняющих веществ используется камера дожига и привести данные о ее эффективности (степень очистки, концентрации загрязняющих веществ на входе и выходе).</w:t>
      </w:r>
    </w:p>
    <w:p w14:paraId="3DDD9D22"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 Сослаться на функциональное назначение. В документах можно указывать, что камера дожига выполняет функцию газоочистки, обеспечивая соблюдение нормативов допустимых выбросов. </w:t>
      </w:r>
    </w:p>
    <w:p w14:paraId="79E1E72E"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 xml:space="preserve">• Подтвердить эффективность камеры дожига, например, какие-то протоколы испытаний, результаты замеров и </w:t>
      </w:r>
      <w:proofErr w:type="gramStart"/>
      <w:r w:rsidRPr="00611A4F">
        <w:rPr>
          <w:rFonts w:ascii="Calibri" w:hAnsi="Calibri" w:cs="Calibri"/>
          <w:sz w:val="22"/>
          <w:szCs w:val="22"/>
        </w:rPr>
        <w:t>т.д.</w:t>
      </w:r>
      <w:proofErr w:type="gramEnd"/>
      <w:r w:rsidRPr="00611A4F">
        <w:rPr>
          <w:rFonts w:ascii="Calibri" w:hAnsi="Calibri" w:cs="Calibri"/>
          <w:sz w:val="22"/>
          <w:szCs w:val="22"/>
        </w:rPr>
        <w:t xml:space="preserve"> </w:t>
      </w:r>
    </w:p>
    <w:p w14:paraId="6A6EDB00" w14:textId="77777777" w:rsidR="00611A4F" w:rsidRPr="00611A4F" w:rsidRDefault="00611A4F" w:rsidP="00611A4F">
      <w:pPr>
        <w:spacing w:after="0" w:line="276" w:lineRule="auto"/>
        <w:ind w:firstLine="567"/>
        <w:jc w:val="both"/>
        <w:rPr>
          <w:rFonts w:ascii="Calibri" w:hAnsi="Calibri" w:cs="Calibri"/>
          <w:sz w:val="22"/>
          <w:szCs w:val="22"/>
        </w:rPr>
      </w:pPr>
    </w:p>
    <w:p w14:paraId="39D4829D" w14:textId="77777777" w:rsidR="00611A4F" w:rsidRP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Если брать в положительное заключение государственной экологической экспертизы (ГЭЭ), то это значительно усиливает позицию. Но нужно внимательно посмотреть само заключение, например, указано ли в нем, что является неотъемлемой частью оборудования и обеспечивает снижение выбросов загрязняющих веществ.</w:t>
      </w:r>
    </w:p>
    <w:p w14:paraId="28A3A54A" w14:textId="77777777" w:rsidR="00611A4F" w:rsidRPr="00611A4F" w:rsidRDefault="00611A4F" w:rsidP="00611A4F">
      <w:pPr>
        <w:spacing w:after="0" w:line="276" w:lineRule="auto"/>
        <w:ind w:firstLine="567"/>
        <w:jc w:val="both"/>
        <w:rPr>
          <w:rFonts w:ascii="Calibri" w:hAnsi="Calibri" w:cs="Calibri"/>
          <w:sz w:val="22"/>
          <w:szCs w:val="22"/>
        </w:rPr>
      </w:pPr>
    </w:p>
    <w:p w14:paraId="13004E88" w14:textId="165A9668" w:rsidR="00611A4F" w:rsidRDefault="00611A4F" w:rsidP="00611A4F">
      <w:pPr>
        <w:spacing w:after="0" w:line="276" w:lineRule="auto"/>
        <w:ind w:firstLine="567"/>
        <w:jc w:val="both"/>
        <w:rPr>
          <w:rFonts w:ascii="Calibri" w:hAnsi="Calibri" w:cs="Calibri"/>
          <w:sz w:val="22"/>
          <w:szCs w:val="22"/>
        </w:rPr>
      </w:pPr>
      <w:r w:rsidRPr="00611A4F">
        <w:rPr>
          <w:rFonts w:ascii="Calibri" w:hAnsi="Calibri" w:cs="Calibri"/>
          <w:sz w:val="22"/>
          <w:szCs w:val="22"/>
        </w:rPr>
        <w:t>Но нужно понимать, что Росприроднадзор может потребовать дополнительно установить ГОУ, если сочтет камеру неэффективной мерой. Риск возникновения споров с контролирующими органами всегда существует</w:t>
      </w:r>
      <w:r>
        <w:rPr>
          <w:rFonts w:ascii="Calibri" w:hAnsi="Calibri" w:cs="Calibri"/>
          <w:sz w:val="22"/>
          <w:szCs w:val="22"/>
        </w:rPr>
        <w:t>.</w:t>
      </w:r>
    </w:p>
    <w:p w14:paraId="7FBA9904" w14:textId="77777777" w:rsidR="00611A4F" w:rsidRDefault="00611A4F" w:rsidP="00611A4F">
      <w:pPr>
        <w:spacing w:after="0" w:line="276" w:lineRule="auto"/>
        <w:ind w:firstLine="567"/>
        <w:jc w:val="both"/>
        <w:rPr>
          <w:rFonts w:ascii="Calibri" w:hAnsi="Calibri" w:cs="Calibri"/>
          <w:sz w:val="22"/>
          <w:szCs w:val="22"/>
        </w:rPr>
      </w:pPr>
    </w:p>
    <w:p w14:paraId="25412BDB" w14:textId="28953312" w:rsidR="00611A4F" w:rsidRPr="00611A4F" w:rsidRDefault="00611A4F" w:rsidP="00611A4F">
      <w:pPr>
        <w:spacing w:after="0" w:line="276" w:lineRule="auto"/>
        <w:jc w:val="both"/>
        <w:rPr>
          <w:rFonts w:ascii="Calibri" w:hAnsi="Calibri" w:cs="Calibri"/>
          <w:b/>
          <w:bCs/>
          <w:sz w:val="22"/>
          <w:szCs w:val="22"/>
        </w:rPr>
      </w:pPr>
      <w:r w:rsidRPr="00611A4F">
        <w:rPr>
          <w:rFonts w:ascii="Calibri" w:hAnsi="Calibri" w:cs="Calibri"/>
          <w:b/>
          <w:bCs/>
          <w:sz w:val="22"/>
          <w:szCs w:val="22"/>
        </w:rPr>
        <w:t>Дополнительная информация</w:t>
      </w:r>
    </w:p>
    <w:p w14:paraId="3BDBADBF" w14:textId="1081B2A0" w:rsidR="005031D1" w:rsidRDefault="00611A4F" w:rsidP="005031D1">
      <w:pPr>
        <w:pStyle w:val="a7"/>
        <w:numPr>
          <w:ilvl w:val="0"/>
          <w:numId w:val="1"/>
        </w:numPr>
        <w:spacing w:after="0" w:line="276" w:lineRule="auto"/>
        <w:jc w:val="both"/>
        <w:rPr>
          <w:rFonts w:ascii="Calibri" w:hAnsi="Calibri" w:cs="Calibri"/>
          <w:b/>
          <w:bCs/>
          <w:sz w:val="22"/>
          <w:szCs w:val="22"/>
        </w:rPr>
      </w:pPr>
      <w:r w:rsidRPr="005031D1">
        <w:rPr>
          <w:rFonts w:ascii="Calibri" w:hAnsi="Calibri" w:cs="Calibri"/>
          <w:b/>
          <w:bCs/>
          <w:sz w:val="22"/>
          <w:szCs w:val="22"/>
          <w:lang w:val="en-US"/>
        </w:rPr>
        <w:t>C</w:t>
      </w:r>
      <w:proofErr w:type="spellStart"/>
      <w:r w:rsidRPr="005031D1">
        <w:rPr>
          <w:rFonts w:ascii="Calibri" w:hAnsi="Calibri" w:cs="Calibri"/>
          <w:b/>
          <w:bCs/>
          <w:sz w:val="22"/>
          <w:szCs w:val="22"/>
        </w:rPr>
        <w:t>тать</w:t>
      </w:r>
      <w:r w:rsidRPr="005031D1">
        <w:rPr>
          <w:rFonts w:ascii="Calibri" w:hAnsi="Calibri" w:cs="Calibri"/>
          <w:b/>
          <w:bCs/>
          <w:sz w:val="22"/>
          <w:szCs w:val="22"/>
        </w:rPr>
        <w:t>я</w:t>
      </w:r>
      <w:proofErr w:type="spellEnd"/>
      <w:r w:rsidRPr="005031D1">
        <w:rPr>
          <w:rFonts w:ascii="Calibri" w:hAnsi="Calibri" w:cs="Calibri"/>
          <w:b/>
          <w:bCs/>
          <w:sz w:val="22"/>
          <w:szCs w:val="22"/>
        </w:rPr>
        <w:t xml:space="preserve"> об отсутствии обязанности регистрации паспортов установок очистки газа в территориальных органах Росприроднадзор</w:t>
      </w:r>
      <w:r w:rsidR="005031D1" w:rsidRPr="005031D1">
        <w:rPr>
          <w:rFonts w:ascii="Calibri" w:hAnsi="Calibri" w:cs="Calibri"/>
          <w:b/>
          <w:bCs/>
          <w:sz w:val="22"/>
          <w:szCs w:val="22"/>
        </w:rPr>
        <w:t>а (на их официальном ресурсе)</w:t>
      </w:r>
      <w:r w:rsidR="005031D1">
        <w:rPr>
          <w:rFonts w:ascii="Calibri" w:hAnsi="Calibri" w:cs="Calibri"/>
          <w:b/>
          <w:bCs/>
          <w:sz w:val="22"/>
          <w:szCs w:val="22"/>
        </w:rPr>
        <w:t xml:space="preserve"> </w:t>
      </w:r>
      <w:hyperlink r:id="rId7" w:history="1">
        <w:r w:rsidR="005031D1" w:rsidRPr="000C5A6C">
          <w:rPr>
            <w:rStyle w:val="ac"/>
            <w:rFonts w:ascii="Calibri" w:hAnsi="Calibri" w:cs="Calibri"/>
            <w:b/>
            <w:bCs/>
            <w:sz w:val="22"/>
            <w:szCs w:val="22"/>
          </w:rPr>
          <w:t>https://rpn.gov.ru/regions/42/news/razyasneniya_po_ekspluatatsii_ustanovok_ochistki_gaza-64735.html</w:t>
        </w:r>
      </w:hyperlink>
    </w:p>
    <w:p w14:paraId="5126C513" w14:textId="7153F85E" w:rsidR="005031D1" w:rsidRDefault="005031D1" w:rsidP="005031D1">
      <w:pPr>
        <w:pStyle w:val="a7"/>
        <w:numPr>
          <w:ilvl w:val="0"/>
          <w:numId w:val="1"/>
        </w:numPr>
        <w:spacing w:after="0" w:line="276" w:lineRule="auto"/>
        <w:jc w:val="both"/>
        <w:rPr>
          <w:rFonts w:ascii="Calibri" w:hAnsi="Calibri" w:cs="Calibri"/>
          <w:b/>
          <w:bCs/>
          <w:sz w:val="22"/>
          <w:szCs w:val="22"/>
        </w:rPr>
      </w:pPr>
      <w:r>
        <w:rPr>
          <w:rFonts w:ascii="Calibri" w:hAnsi="Calibri" w:cs="Calibri"/>
          <w:b/>
          <w:bCs/>
          <w:sz w:val="22"/>
          <w:szCs w:val="22"/>
        </w:rPr>
        <w:t xml:space="preserve">Приказ Минприроды №124 от 21.03.2025 «Об утверждении правил эксплуатации установок очистки газа» </w:t>
      </w:r>
    </w:p>
    <w:p w14:paraId="04AC3FEA" w14:textId="680BEDD3" w:rsidR="005031D1" w:rsidRDefault="005031D1" w:rsidP="005031D1">
      <w:pPr>
        <w:pStyle w:val="a7"/>
        <w:numPr>
          <w:ilvl w:val="0"/>
          <w:numId w:val="1"/>
        </w:numPr>
        <w:spacing w:after="0" w:line="276" w:lineRule="auto"/>
        <w:jc w:val="both"/>
        <w:rPr>
          <w:rFonts w:ascii="Calibri" w:hAnsi="Calibri" w:cs="Calibri"/>
          <w:b/>
          <w:bCs/>
          <w:sz w:val="22"/>
          <w:szCs w:val="22"/>
        </w:rPr>
      </w:pPr>
      <w:r>
        <w:rPr>
          <w:rFonts w:ascii="Calibri" w:hAnsi="Calibri" w:cs="Calibri"/>
          <w:b/>
          <w:bCs/>
          <w:sz w:val="22"/>
          <w:szCs w:val="22"/>
        </w:rPr>
        <w:t>Письмо Минприроды №</w:t>
      </w:r>
      <w:r w:rsidRPr="005031D1">
        <w:rPr>
          <w:rFonts w:ascii="Calibri" w:hAnsi="Calibri" w:cs="Calibri"/>
          <w:b/>
          <w:bCs/>
          <w:sz w:val="22"/>
          <w:szCs w:val="22"/>
        </w:rPr>
        <w:t>12-53</w:t>
      </w:r>
      <w:r>
        <w:rPr>
          <w:rFonts w:ascii="Calibri" w:hAnsi="Calibri" w:cs="Calibri"/>
          <w:b/>
          <w:bCs/>
          <w:sz w:val="22"/>
          <w:szCs w:val="22"/>
        </w:rPr>
        <w:t>/</w:t>
      </w:r>
      <w:r w:rsidRPr="005031D1">
        <w:rPr>
          <w:rFonts w:ascii="Calibri" w:hAnsi="Calibri" w:cs="Calibri"/>
          <w:b/>
          <w:bCs/>
          <w:sz w:val="22"/>
          <w:szCs w:val="22"/>
        </w:rPr>
        <w:t>24780 от 16</w:t>
      </w:r>
      <w:r>
        <w:rPr>
          <w:rFonts w:ascii="Calibri" w:hAnsi="Calibri" w:cs="Calibri"/>
          <w:b/>
          <w:bCs/>
          <w:sz w:val="22"/>
          <w:szCs w:val="22"/>
        </w:rPr>
        <w:t>.</w:t>
      </w:r>
      <w:r w:rsidRPr="005031D1">
        <w:rPr>
          <w:rFonts w:ascii="Calibri" w:hAnsi="Calibri" w:cs="Calibri"/>
          <w:b/>
          <w:bCs/>
          <w:sz w:val="22"/>
          <w:szCs w:val="22"/>
        </w:rPr>
        <w:t>06</w:t>
      </w:r>
      <w:r>
        <w:rPr>
          <w:rFonts w:ascii="Calibri" w:hAnsi="Calibri" w:cs="Calibri"/>
          <w:b/>
          <w:bCs/>
          <w:sz w:val="22"/>
          <w:szCs w:val="22"/>
        </w:rPr>
        <w:t>.</w:t>
      </w:r>
      <w:r w:rsidRPr="005031D1">
        <w:rPr>
          <w:rFonts w:ascii="Calibri" w:hAnsi="Calibri" w:cs="Calibri"/>
          <w:b/>
          <w:bCs/>
          <w:sz w:val="22"/>
          <w:szCs w:val="22"/>
        </w:rPr>
        <w:t>2025</w:t>
      </w:r>
    </w:p>
    <w:p w14:paraId="46D8C8BE" w14:textId="77777777" w:rsidR="005031D1" w:rsidRPr="00611A4F" w:rsidRDefault="005031D1" w:rsidP="00611A4F">
      <w:pPr>
        <w:spacing w:after="0" w:line="276" w:lineRule="auto"/>
        <w:jc w:val="both"/>
        <w:rPr>
          <w:rFonts w:ascii="Calibri" w:hAnsi="Calibri" w:cs="Calibri"/>
          <w:b/>
          <w:bCs/>
          <w:sz w:val="22"/>
          <w:szCs w:val="22"/>
        </w:rPr>
      </w:pPr>
    </w:p>
    <w:sectPr w:rsidR="005031D1" w:rsidRPr="00611A4F" w:rsidSect="00DF075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9E9"/>
    <w:multiLevelType w:val="hybridMultilevel"/>
    <w:tmpl w:val="C56E8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302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EC"/>
    <w:rsid w:val="000E293A"/>
    <w:rsid w:val="00343F96"/>
    <w:rsid w:val="00466C81"/>
    <w:rsid w:val="00487DE8"/>
    <w:rsid w:val="005031D1"/>
    <w:rsid w:val="00611A4F"/>
    <w:rsid w:val="007D1A61"/>
    <w:rsid w:val="00891F27"/>
    <w:rsid w:val="00BC6AEC"/>
    <w:rsid w:val="00DF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6A47"/>
  <w15:chartTrackingRefBased/>
  <w15:docId w15:val="{26CA503F-FA78-4F51-9E78-E35FE185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75B"/>
  </w:style>
  <w:style w:type="paragraph" w:styleId="1">
    <w:name w:val="heading 1"/>
    <w:basedOn w:val="a"/>
    <w:next w:val="a"/>
    <w:link w:val="10"/>
    <w:uiPriority w:val="9"/>
    <w:qFormat/>
    <w:rsid w:val="00BC6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C6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6A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6A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6A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6A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6A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6A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6A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A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C6A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6A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6A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6A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6A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6AEC"/>
    <w:rPr>
      <w:rFonts w:eastAsiaTheme="majorEastAsia" w:cstheme="majorBidi"/>
      <w:color w:val="595959" w:themeColor="text1" w:themeTint="A6"/>
    </w:rPr>
  </w:style>
  <w:style w:type="character" w:customStyle="1" w:styleId="80">
    <w:name w:val="Заголовок 8 Знак"/>
    <w:basedOn w:val="a0"/>
    <w:link w:val="8"/>
    <w:uiPriority w:val="9"/>
    <w:semiHidden/>
    <w:rsid w:val="00BC6A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6AEC"/>
    <w:rPr>
      <w:rFonts w:eastAsiaTheme="majorEastAsia" w:cstheme="majorBidi"/>
      <w:color w:val="272727" w:themeColor="text1" w:themeTint="D8"/>
    </w:rPr>
  </w:style>
  <w:style w:type="paragraph" w:styleId="a3">
    <w:name w:val="Title"/>
    <w:basedOn w:val="a"/>
    <w:next w:val="a"/>
    <w:link w:val="a4"/>
    <w:uiPriority w:val="10"/>
    <w:qFormat/>
    <w:rsid w:val="00BC6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6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A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6A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6AEC"/>
    <w:pPr>
      <w:spacing w:before="160"/>
      <w:jc w:val="center"/>
    </w:pPr>
    <w:rPr>
      <w:i/>
      <w:iCs/>
      <w:color w:val="404040" w:themeColor="text1" w:themeTint="BF"/>
    </w:rPr>
  </w:style>
  <w:style w:type="character" w:customStyle="1" w:styleId="22">
    <w:name w:val="Цитата 2 Знак"/>
    <w:basedOn w:val="a0"/>
    <w:link w:val="21"/>
    <w:uiPriority w:val="29"/>
    <w:rsid w:val="00BC6AEC"/>
    <w:rPr>
      <w:i/>
      <w:iCs/>
      <w:color w:val="404040" w:themeColor="text1" w:themeTint="BF"/>
    </w:rPr>
  </w:style>
  <w:style w:type="paragraph" w:styleId="a7">
    <w:name w:val="List Paragraph"/>
    <w:basedOn w:val="a"/>
    <w:uiPriority w:val="34"/>
    <w:qFormat/>
    <w:rsid w:val="00BC6AEC"/>
    <w:pPr>
      <w:ind w:left="720"/>
      <w:contextualSpacing/>
    </w:pPr>
  </w:style>
  <w:style w:type="character" w:styleId="a8">
    <w:name w:val="Intense Emphasis"/>
    <w:basedOn w:val="a0"/>
    <w:uiPriority w:val="21"/>
    <w:qFormat/>
    <w:rsid w:val="00BC6AEC"/>
    <w:rPr>
      <w:i/>
      <w:iCs/>
      <w:color w:val="0F4761" w:themeColor="accent1" w:themeShade="BF"/>
    </w:rPr>
  </w:style>
  <w:style w:type="paragraph" w:styleId="a9">
    <w:name w:val="Intense Quote"/>
    <w:basedOn w:val="a"/>
    <w:next w:val="a"/>
    <w:link w:val="aa"/>
    <w:uiPriority w:val="30"/>
    <w:qFormat/>
    <w:rsid w:val="00BC6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C6AEC"/>
    <w:rPr>
      <w:i/>
      <w:iCs/>
      <w:color w:val="0F4761" w:themeColor="accent1" w:themeShade="BF"/>
    </w:rPr>
  </w:style>
  <w:style w:type="character" w:styleId="ab">
    <w:name w:val="Intense Reference"/>
    <w:basedOn w:val="a0"/>
    <w:uiPriority w:val="32"/>
    <w:qFormat/>
    <w:rsid w:val="00BC6AEC"/>
    <w:rPr>
      <w:b/>
      <w:bCs/>
      <w:smallCaps/>
      <w:color w:val="0F4761" w:themeColor="accent1" w:themeShade="BF"/>
      <w:spacing w:val="5"/>
    </w:rPr>
  </w:style>
  <w:style w:type="character" w:styleId="ac">
    <w:name w:val="Hyperlink"/>
    <w:basedOn w:val="a0"/>
    <w:uiPriority w:val="99"/>
    <w:unhideWhenUsed/>
    <w:rsid w:val="00611A4F"/>
    <w:rPr>
      <w:color w:val="467886" w:themeColor="hyperlink"/>
      <w:u w:val="single"/>
    </w:rPr>
  </w:style>
  <w:style w:type="character" w:styleId="ad">
    <w:name w:val="Unresolved Mention"/>
    <w:basedOn w:val="a0"/>
    <w:uiPriority w:val="99"/>
    <w:semiHidden/>
    <w:unhideWhenUsed/>
    <w:rsid w:val="0061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pn.gov.ru/regions/42/news/razyasneniya_po_ekspluatatsii_ustanovok_ochistki_gaza-6473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ecostandard.ru/eco/razbor-zakonodatelstva/obzor-sudebnoy-praktiki-po-sporam-svyazannym-s-osnashcheniem-istochnikov-vybrosov-gazoochistnym-ob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3389-CE07-4370-B983-3009AD01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Anzhelika</dc:creator>
  <cp:keywords/>
  <dc:description/>
  <cp:lastModifiedBy>Вера Перминова</cp:lastModifiedBy>
  <cp:revision>2</cp:revision>
  <dcterms:created xsi:type="dcterms:W3CDTF">2025-10-24T18:35:00Z</dcterms:created>
  <dcterms:modified xsi:type="dcterms:W3CDTF">2025-10-24T18:35:00Z</dcterms:modified>
</cp:coreProperties>
</file>